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DE21" w14:textId="77777777" w:rsidR="00841369" w:rsidRPr="00841369" w:rsidRDefault="00841369" w:rsidP="00841369">
      <w:pPr>
        <w:spacing w:before="120" w:after="0" w:line="240" w:lineRule="auto"/>
        <w:ind w:left="2400" w:firstLine="4680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bookmarkStart w:id="0" w:name="_Hlk124352596"/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Приложение № 3</w:t>
      </w:r>
      <w:bookmarkEnd w:id="0"/>
    </w:p>
    <w:p w14:paraId="2D2D677D" w14:textId="77777777" w:rsidR="00841369" w:rsidRPr="00841369" w:rsidRDefault="00841369" w:rsidP="00841369">
      <w:pPr>
        <w:spacing w:before="120" w:after="0" w:line="240" w:lineRule="auto"/>
        <w:ind w:firstLine="7088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Образец</w:t>
      </w:r>
    </w:p>
    <w:p w14:paraId="41E7F589" w14:textId="77777777" w:rsidR="00841369" w:rsidRPr="00841369" w:rsidRDefault="00841369" w:rsidP="00841369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ДО </w:t>
      </w:r>
    </w:p>
    <w:p w14:paraId="7AC35B6A" w14:textId="77777777" w:rsidR="00841369" w:rsidRPr="00841369" w:rsidRDefault="00841369" w:rsidP="00841369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„ИНФОРМАЦИОННО ОБСЛУЖВАНЕ“ АД</w:t>
      </w:r>
    </w:p>
    <w:p w14:paraId="3396D8C3" w14:textId="77777777" w:rsidR="00841369" w:rsidRPr="00841369" w:rsidRDefault="00841369" w:rsidP="00841369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УЛ. „ПАНАЙОТ ВОЛОВ“ № 2</w:t>
      </w:r>
    </w:p>
    <w:p w14:paraId="3D067001" w14:textId="77777777" w:rsidR="00841369" w:rsidRPr="00841369" w:rsidRDefault="00841369" w:rsidP="00841369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ГР. СОФИЯ</w:t>
      </w:r>
    </w:p>
    <w:p w14:paraId="3B03B4EC" w14:textId="77777777" w:rsidR="00841369" w:rsidRPr="00841369" w:rsidRDefault="00841369" w:rsidP="00841369">
      <w:pPr>
        <w:spacing w:before="120" w:after="0" w:line="36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</w:p>
    <w:p w14:paraId="1840A46B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[наименование на участника],</w:t>
      </w:r>
    </w:p>
    <w:p w14:paraId="02F058D1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представлявано от [трите имена] в качеството на [длъжност, или друго качество]</w:t>
      </w:r>
    </w:p>
    <w:p w14:paraId="598C0964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с ЕИК […], със седалище […] и адрес на управление […],</w:t>
      </w:r>
    </w:p>
    <w:p w14:paraId="6C511566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адрес за кореспонденция: […],</w:t>
      </w:r>
    </w:p>
    <w:p w14:paraId="7DAED340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банкови сметки: […]</w:t>
      </w:r>
    </w:p>
    <w:p w14:paraId="36EB3F5A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79EA3855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29801083" w14:textId="77777777" w:rsidR="00841369" w:rsidRPr="00841369" w:rsidRDefault="00841369" w:rsidP="00841369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p w14:paraId="31064057" w14:textId="77777777" w:rsidR="00841369" w:rsidRPr="00841369" w:rsidRDefault="00841369" w:rsidP="00841369">
      <w:pPr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kern w:val="0"/>
          <w:lang w:val="bg-BG"/>
          <w14:ligatures w14:val="none"/>
        </w:rPr>
        <w:t>ТЕХНИЧЕСКО ПРЕДЛОЖЕНИЕ</w:t>
      </w:r>
    </w:p>
    <w:p w14:paraId="57DF1FC6" w14:textId="77777777" w:rsidR="00841369" w:rsidRPr="00841369" w:rsidRDefault="00841369" w:rsidP="00841369">
      <w:pPr>
        <w:tabs>
          <w:tab w:val="left" w:pos="1701"/>
        </w:tabs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за</w:t>
      </w:r>
    </w:p>
    <w:p w14:paraId="25D2C46D" w14:textId="77777777" w:rsidR="00841369" w:rsidRPr="00841369" w:rsidRDefault="00841369" w:rsidP="00841369">
      <w:pPr>
        <w:tabs>
          <w:tab w:val="left" w:pos="1701"/>
        </w:tabs>
        <w:spacing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 участие в процедура за избор на доставчик с предмет:</w:t>
      </w:r>
    </w:p>
    <w:p w14:paraId="21C646BE" w14:textId="77777777" w:rsidR="00841369" w:rsidRPr="00841369" w:rsidRDefault="00841369" w:rsidP="00841369">
      <w:pPr>
        <w:shd w:val="clear" w:color="auto" w:fill="FFFFFF"/>
        <w:suppressAutoHyphens/>
        <w:spacing w:before="120" w:after="120" w:line="240" w:lineRule="auto"/>
        <w:ind w:left="74"/>
        <w:jc w:val="center"/>
        <w:rPr>
          <w:rFonts w:ascii="Arial Narrow" w:eastAsia="Times New Roman" w:hAnsi="Arial Narrow" w:cs="Arial Narrow"/>
          <w:b/>
          <w:bCs/>
          <w:kern w:val="0"/>
          <w14:ligatures w14:val="none"/>
        </w:rPr>
      </w:pPr>
      <w:bookmarkStart w:id="1" w:name="_Hlk125704438"/>
      <w:bookmarkStart w:id="2" w:name="_Hlk124327765"/>
      <w:r w:rsidRPr="00841369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„</w:t>
      </w:r>
      <w:bookmarkStart w:id="3" w:name="_Hlk190332048"/>
      <w:r w:rsidRPr="00841369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Придобиване на лицензи за решение за разширено откриване и реагиране на заплахи на крайни работни станции за период от 60 месеца за нуждите на „Информационно обслужване“ АД“</w:t>
      </w:r>
    </w:p>
    <w:bookmarkEnd w:id="1"/>
    <w:bookmarkEnd w:id="3"/>
    <w:p w14:paraId="4E94A2E4" w14:textId="77777777" w:rsidR="00841369" w:rsidRPr="00841369" w:rsidRDefault="00841369" w:rsidP="00841369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След запознаване с поканата за участие в процедура за избор на доставчик с предмет: </w:t>
      </w:r>
      <w:r w:rsidRPr="00841369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bookmarkStart w:id="4" w:name="_Hlk169528575"/>
      <w:r w:rsidRPr="00841369">
        <w:rPr>
          <w:rFonts w:ascii="Arial Narrow" w:eastAsia="Times New Roman" w:hAnsi="Arial Narrow" w:cs="Arial Narrow"/>
          <w:kern w:val="0"/>
          <w:lang w:val="bg-BG"/>
          <w14:ligatures w14:val="none"/>
        </w:rPr>
        <w:t xml:space="preserve">Придобиване на </w:t>
      </w:r>
      <w:bookmarkStart w:id="5" w:name="_Hlk216697204"/>
      <w:r w:rsidRPr="00841369">
        <w:rPr>
          <w:rFonts w:ascii="Arial Narrow" w:eastAsia="Times New Roman" w:hAnsi="Arial Narrow" w:cs="Arial Narrow"/>
          <w:kern w:val="0"/>
          <w:lang w:val="bg-BG"/>
          <w14:ligatures w14:val="none"/>
        </w:rPr>
        <w:t>лицензи за решение за разширено откриване и реагиране на заплахи на крайни работни станции</w:t>
      </w:r>
      <w:bookmarkEnd w:id="5"/>
      <w:r w:rsidRPr="00841369">
        <w:rPr>
          <w:rFonts w:ascii="Arial Narrow" w:eastAsia="Times New Roman" w:hAnsi="Arial Narrow" w:cs="Arial Narrow"/>
          <w:kern w:val="0"/>
          <w:lang w:val="bg-BG"/>
          <w14:ligatures w14:val="none"/>
        </w:rPr>
        <w:t xml:space="preserve"> за период от 60 месеца за нуждите на „Информационно обслужване“ АД“</w:t>
      </w:r>
      <w:bookmarkEnd w:id="4"/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, с настоящото Техническо предложение правим следните обвързващи предложения:</w:t>
      </w:r>
    </w:p>
    <w:bookmarkEnd w:id="2"/>
    <w:p w14:paraId="3739E3B0" w14:textId="77777777" w:rsidR="00841369" w:rsidRPr="00841369" w:rsidRDefault="00841369" w:rsidP="00841369">
      <w:pPr>
        <w:numPr>
          <w:ilvl w:val="0"/>
          <w:numId w:val="1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Срок за изпълнение:</w:t>
      </w:r>
    </w:p>
    <w:p w14:paraId="42E0AF21" w14:textId="77777777" w:rsidR="00841369" w:rsidRPr="00841369" w:rsidRDefault="00841369" w:rsidP="00841369">
      <w:pPr>
        <w:numPr>
          <w:ilvl w:val="1"/>
          <w:numId w:val="2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Декларираме, че ще доставим </w:t>
      </w:r>
      <w:bookmarkStart w:id="6" w:name="_Hlk216697379"/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лицензи за решение за разширено откриване и реагиране на заплахи на крайни работни станции</w:t>
      </w:r>
      <w:bookmarkEnd w:id="6"/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 в срок до </w:t>
      </w:r>
      <w:r w:rsidRPr="00841369">
        <w:rPr>
          <w:rFonts w:ascii="Arial Narrow" w:eastAsia="Times New Roman" w:hAnsi="Arial Narrow" w:cs="Times New Roman"/>
          <w:kern w:val="0"/>
          <w:szCs w:val="22"/>
          <w14:ligatures w14:val="none"/>
        </w:rPr>
        <w:t>…</w:t>
      </w: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………..…./…………</w:t>
      </w:r>
      <w:r w:rsidRPr="00841369">
        <w:rPr>
          <w:rFonts w:ascii="Arial Narrow" w:eastAsia="Times New Roman" w:hAnsi="Arial Narrow" w:cs="Times New Roman"/>
          <w:kern w:val="0"/>
          <w:szCs w:val="22"/>
          <w14:ligatures w14:val="none"/>
        </w:rPr>
        <w:t>….</w:t>
      </w: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/  дни (</w:t>
      </w:r>
      <w:r w:rsidRPr="00841369">
        <w:rPr>
          <w:rFonts w:ascii="Arial Narrow" w:eastAsia="Times New Roman" w:hAnsi="Arial Narrow" w:cs="Times New Roman"/>
          <w:i/>
          <w:iCs/>
          <w:kern w:val="0"/>
          <w:szCs w:val="22"/>
          <w:lang w:val="bg-BG"/>
          <w14:ligatures w14:val="none"/>
        </w:rPr>
        <w:t>не повече от десет работни  дни</w:t>
      </w: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), считано от датата на сключване на договор.</w:t>
      </w:r>
    </w:p>
    <w:p w14:paraId="40AB56CF" w14:textId="77777777" w:rsidR="00841369" w:rsidRPr="00841369" w:rsidRDefault="00841369" w:rsidP="00841369">
      <w:pPr>
        <w:numPr>
          <w:ilvl w:val="1"/>
          <w:numId w:val="2"/>
        </w:numPr>
        <w:tabs>
          <w:tab w:val="left" w:pos="1701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Cs w:val="22"/>
          <w:lang w:val="bg-BG"/>
          <w14:ligatures w14:val="none"/>
        </w:rPr>
      </w:pP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Срокът на лицензите и</w:t>
      </w:r>
      <w:r w:rsidRPr="00841369">
        <w:rPr>
          <w:rFonts w:ascii="Arial Narrow" w:eastAsia="Times New Roman" w:hAnsi="Arial Narrow" w:cs="Times New Roman"/>
          <w:kern w:val="0"/>
          <w:szCs w:val="22"/>
          <w14:ligatures w14:val="none"/>
        </w:rPr>
        <w:t xml:space="preserve"> </w:t>
      </w:r>
      <w:r w:rsidRPr="00841369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софтуерната гаранционна поддръжка от производителя е 60 месеца, считано от датата на приемо-предавателния протокол за доставка.</w:t>
      </w:r>
    </w:p>
    <w:p w14:paraId="082E2A87" w14:textId="77777777" w:rsidR="00841369" w:rsidRPr="00841369" w:rsidRDefault="00841369" w:rsidP="00841369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60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Приемаме да изпълним предмета на процедурата, съгласно всички условия и изисквания, посочени от Възложителя в поканата за участие в настоящата процедура и Техническото задание - Приложение № 1</w:t>
      </w:r>
      <w:r w:rsidRPr="00841369">
        <w:rPr>
          <w:rFonts w:ascii="Arial Narrow" w:eastAsia="Times New Roman" w:hAnsi="Arial Narrow" w:cs="Arial"/>
          <w:kern w:val="0"/>
          <w14:ligatures w14:val="none"/>
        </w:rPr>
        <w:t>.</w:t>
      </w:r>
    </w:p>
    <w:p w14:paraId="6E224306" w14:textId="77777777" w:rsidR="00841369" w:rsidRPr="00841369" w:rsidRDefault="00841369" w:rsidP="00841369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57" w:hanging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Предложението е със срок на валидност ………….. / …………………………/ календарни дни</w:t>
      </w:r>
      <w:r w:rsidRPr="00841369">
        <w:rPr>
          <w:rFonts w:ascii="Arial Narrow" w:eastAsia="Times New Roman" w:hAnsi="Arial Narrow" w:cs="Arial"/>
          <w:i/>
          <w:kern w:val="0"/>
          <w:lang w:val="bg-BG"/>
          <w14:ligatures w14:val="none"/>
        </w:rPr>
        <w:t xml:space="preserve"> (не по-малко от 60 /шестдесет/ календарни дни)</w:t>
      </w:r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t>, считано от датата на представяне на предложението.</w:t>
      </w:r>
    </w:p>
    <w:p w14:paraId="3372300C" w14:textId="77777777" w:rsidR="00841369" w:rsidRPr="00841369" w:rsidRDefault="00841369" w:rsidP="00841369">
      <w:pPr>
        <w:numPr>
          <w:ilvl w:val="0"/>
          <w:numId w:val="2"/>
        </w:numPr>
        <w:tabs>
          <w:tab w:val="left" w:pos="1701"/>
        </w:tabs>
        <w:spacing w:before="120" w:after="120" w:line="240" w:lineRule="auto"/>
        <w:ind w:left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  <w:bookmarkStart w:id="7" w:name="_Hlk124328445"/>
      <w:r w:rsidRPr="00841369">
        <w:rPr>
          <w:rFonts w:ascii="Arial Narrow" w:eastAsia="Times New Roman" w:hAnsi="Arial Narrow" w:cs="Arial"/>
          <w:kern w:val="0"/>
          <w:lang w:val="bg-BG"/>
          <w14:ligatures w14:val="none"/>
        </w:rPr>
        <w:lastRenderedPageBreak/>
        <w:t>Приемаме да доставим лицензи за решение за разширено откриване и реагиране на заплахи на крайни работни станции, отговарящо на следните технически параметри:</w:t>
      </w:r>
    </w:p>
    <w:p w14:paraId="3EAA015E" w14:textId="77777777" w:rsidR="00841369" w:rsidRPr="00841369" w:rsidRDefault="00841369" w:rsidP="00841369">
      <w:pPr>
        <w:tabs>
          <w:tab w:val="left" w:pos="1701"/>
        </w:tabs>
        <w:spacing w:before="120" w:after="120" w:line="240" w:lineRule="auto"/>
        <w:ind w:left="357"/>
        <w:jc w:val="both"/>
        <w:rPr>
          <w:rFonts w:ascii="Arial Narrow" w:eastAsia="Times New Roman" w:hAnsi="Arial Narrow" w:cs="Arial"/>
          <w:kern w:val="0"/>
          <w:lang w:val="bg-BG"/>
          <w14:ligatures w14:val="none"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90"/>
      </w:tblGrid>
      <w:tr w:rsidR="00841369" w:rsidRPr="00841369" w14:paraId="6A59A44F" w14:textId="77777777" w:rsidTr="006F7956">
        <w:trPr>
          <w:trHeight w:val="467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bookmarkEnd w:id="7"/>
          <w:p w14:paraId="1B035828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b/>
                <w:bCs/>
                <w:kern w:val="0"/>
                <w:lang w:val="bg-BG" w:eastAsia="zh-CN"/>
                <w14:ligatures w14:val="none"/>
              </w:rPr>
              <w:t>Параметър</w:t>
            </w:r>
          </w:p>
        </w:tc>
      </w:tr>
      <w:tr w:rsidR="00841369" w:rsidRPr="00841369" w14:paraId="2D5512C1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016A3B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Участникът трябва да достави всички необходими лицензи с права за ползване на всички изисквани функционалности за защита на </w:t>
            </w:r>
            <w:r w:rsidRPr="00841369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1350 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работни станции и сървъри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и за сигурност на облачни среди (CNAPP) за </w:t>
            </w:r>
            <w:r w:rsidRPr="00841369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val="bg-BG" w:eastAsia="zh-CN"/>
                <w14:ligatures w14:val="none"/>
              </w:rPr>
              <w:t>50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 крайни точки, което да включва Cloud Runtime Security (с CDR, CWP и WAAS), CSPM, CIEM, DSPM. за период от 60 (шестдесет) месеца.</w:t>
            </w:r>
          </w:p>
        </w:tc>
      </w:tr>
      <w:tr w:rsidR="00841369" w:rsidRPr="00841369" w14:paraId="006EF84B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D4E3B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Антивирусни функционалности от следващо поколение базирани на машинно обучение, локален анализ и предотвратяване на заплахи</w:t>
            </w:r>
          </w:p>
        </w:tc>
      </w:tr>
      <w:tr w:rsidR="00841369" w:rsidRPr="00841369" w14:paraId="499736B4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37F3F8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Предотвратяване на заплахи, базирано на поведение и динамичен анализ на работещи процеси</w:t>
            </w:r>
          </w:p>
        </w:tc>
      </w:tr>
      <w:tr w:rsidR="00841369" w:rsidRPr="00841369" w14:paraId="16B5F343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A72E1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Предотвратяване на експлоатация чрез техника на експлоатиране</w:t>
            </w:r>
          </w:p>
        </w:tc>
      </w:tr>
      <w:tr w:rsidR="00841369" w:rsidRPr="00841369" w14:paraId="4C576E37" w14:textId="77777777" w:rsidTr="006F7956">
        <w:trPr>
          <w:trHeight w:val="8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421CCB" w14:textId="77777777" w:rsidR="00841369" w:rsidRPr="00841369" w:rsidRDefault="00841369" w:rsidP="00841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Автоматизирана интеграция с базирана в облак услуга за предотвратяване на злонамерен софтуер, с отчети за анализ и поддръжка на минимум 100MB размера на файла</w:t>
            </w:r>
          </w:p>
        </w:tc>
      </w:tr>
      <w:tr w:rsidR="00841369" w:rsidRPr="00841369" w14:paraId="1FE1DC92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BFEFC" w14:textId="77777777" w:rsidR="00841369" w:rsidRPr="00841369" w:rsidRDefault="00841369" w:rsidP="00841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Модул за инспекция на мрежата с цел спиране на мрежови атаки в случай че бъде направена интеграция с устройства за мрежова сигурност</w:t>
            </w:r>
          </w:p>
        </w:tc>
      </w:tr>
      <w:tr w:rsidR="00841369" w:rsidRPr="00841369" w14:paraId="05E5888F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78A68" w14:textId="77777777" w:rsidR="00841369" w:rsidRPr="00841369" w:rsidRDefault="00841369" w:rsidP="00841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създаване на профили за сигурност и задаване на изключения</w:t>
            </w:r>
          </w:p>
        </w:tc>
      </w:tr>
      <w:tr w:rsidR="00841369" w:rsidRPr="00841369" w14:paraId="14EF38F2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B48215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Извънредно и планирано сканиране на крайни точки</w:t>
            </w:r>
          </w:p>
        </w:tc>
      </w:tr>
      <w:tr w:rsidR="00841369" w:rsidRPr="00841369" w14:paraId="17B15EDC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8632C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Защита срещу злонамерен софтуер, крипто вируси и атаки без файлове</w:t>
            </w:r>
          </w:p>
        </w:tc>
      </w:tr>
      <w:tr w:rsidR="00841369" w:rsidRPr="00841369" w14:paraId="745B9E15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0E987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Унифициран олекотен агент за защита, откриване и реакция срещу заплахи на крайните точки</w:t>
            </w:r>
          </w:p>
        </w:tc>
      </w:tr>
      <w:tr w:rsidR="00841369" w:rsidRPr="00841369" w14:paraId="33A7E3F6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CC74C0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Защитна стена на хоста</w:t>
            </w:r>
          </w:p>
        </w:tc>
      </w:tr>
      <w:tr w:rsidR="00841369" w:rsidRPr="00841369" w14:paraId="37722A12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E111BC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Криптиране на диска</w:t>
            </w:r>
          </w:p>
        </w:tc>
      </w:tr>
      <w:tr w:rsidR="00841369" w:rsidRPr="00841369" w14:paraId="65147D95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4C709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Управление на USB устройства</w:t>
            </w:r>
          </w:p>
        </w:tc>
      </w:tr>
      <w:tr w:rsidR="00841369" w:rsidRPr="00841369" w14:paraId="72FD579F" w14:textId="77777777" w:rsidTr="006F7956">
        <w:trPr>
          <w:trHeight w:val="30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22AABF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Персонализирани правила за превенция</w:t>
            </w:r>
          </w:p>
        </w:tc>
      </w:tr>
      <w:tr w:rsidR="00841369" w:rsidRPr="00841369" w14:paraId="27E6A40D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1760B9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Автоматично групиране на свързани сигнали от различни източници в един инцидент</w:t>
            </w:r>
          </w:p>
        </w:tc>
      </w:tr>
      <w:tr w:rsidR="00841369" w:rsidRPr="00841369" w14:paraId="168E21AA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05087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Интуитивен изглед на инцидента с преглед на инцидента и тактики на MITRE и ключова информация за инцидента.</w:t>
            </w:r>
          </w:p>
        </w:tc>
      </w:tr>
      <w:tr w:rsidR="00841369" w:rsidRPr="00841369" w14:paraId="65749305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E2955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персонализирано оценяване на инциденти</w:t>
            </w:r>
          </w:p>
        </w:tc>
      </w:tr>
      <w:tr w:rsidR="00841369" w:rsidRPr="00841369" w14:paraId="5B732C56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390B4C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Списък на забележителни артефакти от сигнали и обогатена информация от услуга за разузнаване за 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lastRenderedPageBreak/>
              <w:t>заплахи</w:t>
            </w:r>
          </w:p>
        </w:tc>
      </w:tr>
      <w:tr w:rsidR="00841369" w:rsidRPr="00841369" w14:paraId="7299FBAC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78D540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lastRenderedPageBreak/>
              <w:t>Изброяване на потребители и хостове, участващи в инциденти, за бързо определяне на обхвата на инцидента</w:t>
            </w:r>
          </w:p>
        </w:tc>
      </w:tr>
      <w:tr w:rsidR="00841369" w:rsidRPr="00841369" w14:paraId="258BCD12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8E667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възлагане на конкретни инциденти на членовете на екипа</w:t>
            </w:r>
          </w:p>
        </w:tc>
      </w:tr>
      <w:tr w:rsidR="00841369" w:rsidRPr="00841369" w14:paraId="5D620890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6E23C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добавяне на коментари към инциденти</w:t>
            </w:r>
          </w:p>
        </w:tc>
      </w:tr>
      <w:tr w:rsidR="00841369" w:rsidRPr="00841369" w14:paraId="3EEB0F45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EF6464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Обединяване на инциденти по избор</w:t>
            </w:r>
          </w:p>
        </w:tc>
      </w:tr>
      <w:tr w:rsidR="00841369" w:rsidRPr="00841369" w14:paraId="02F0E8E4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B593B8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отдалечен терминал</w:t>
            </w:r>
          </w:p>
        </w:tc>
      </w:tr>
      <w:tr w:rsidR="00841369" w:rsidRPr="00841369" w14:paraId="339B0356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232DA5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изпълнение на команди и скриптове на CMD, PowerShell и Python в Windows</w:t>
            </w:r>
          </w:p>
        </w:tc>
      </w:tr>
      <w:tr w:rsidR="00841369" w:rsidRPr="00841369" w14:paraId="78BFF729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DBD67A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изпълнение на команди на Bash и Python на macOS и Linux</w:t>
            </w:r>
          </w:p>
        </w:tc>
      </w:tr>
      <w:tr w:rsidR="00841369" w:rsidRPr="00841369" w14:paraId="1701CE94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79CEDC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Отдалечено изолиране на единична крайна точка или множество крайни точки</w:t>
            </w:r>
          </w:p>
        </w:tc>
      </w:tr>
      <w:tr w:rsidR="00841369" w:rsidRPr="00841369" w14:paraId="3AF65F37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EB299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Отдалечено изтриване на файл на една или няколко крайни точки</w:t>
            </w:r>
          </w:p>
        </w:tc>
      </w:tr>
      <w:tr w:rsidR="00841369" w:rsidRPr="00841369" w14:paraId="21CDD33E" w14:textId="77777777" w:rsidTr="006F7956">
        <w:trPr>
          <w:trHeight w:val="8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AF8D56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преглеждане, спиране или прекратяване на работещи процеси или изтегляне на двоични файлове с графичен мениджър на задачи за Windows, macOS и Linux</w:t>
            </w:r>
          </w:p>
        </w:tc>
      </w:tr>
      <w:tr w:rsidR="00841369" w:rsidRPr="00841369" w14:paraId="23FCED35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DB16F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Мащабируемо, базирано на облак управление, както и инсталиране на агент</w:t>
            </w:r>
          </w:p>
        </w:tc>
      </w:tr>
      <w:tr w:rsidR="00841369" w:rsidRPr="00841369" w14:paraId="52757642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4C3BA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Единна уеб-базирана конзола за управление за сигурността на крайните точки, както и разширено откриване и реакция</w:t>
            </w:r>
          </w:p>
        </w:tc>
      </w:tr>
      <w:tr w:rsidR="00841369" w:rsidRPr="00841369" w14:paraId="55191879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6AAF3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Контрол на достъпа, базиран на роли (RBAC) за персонализирани права </w:t>
            </w:r>
          </w:p>
        </w:tc>
      </w:tr>
      <w:tr w:rsidR="00841369" w:rsidRPr="00841369" w14:paraId="4FC3D7A4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CCBEE3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мултифакторна автентикация (MFA)</w:t>
            </w:r>
          </w:p>
        </w:tc>
      </w:tr>
      <w:tr w:rsidR="00841369" w:rsidRPr="00841369" w14:paraId="25E67C99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48BDE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Персонализирани информационни табла за високо ниво на сигурност и оперативна информация</w:t>
            </w:r>
          </w:p>
        </w:tc>
      </w:tr>
      <w:tr w:rsidR="00841369" w:rsidRPr="00841369" w14:paraId="30AEE705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6AEDC" w14:textId="77777777" w:rsidR="00841369" w:rsidRPr="00841369" w:rsidRDefault="00841369" w:rsidP="00841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Инструменти за управление на трети страни базирани на стандарти приложно програмни интерфейси , които се интегрират и извършват административни действия</w:t>
            </w:r>
          </w:p>
        </w:tc>
      </w:tr>
      <w:tr w:rsidR="00841369" w:rsidRPr="00841369" w14:paraId="2346D9C3" w14:textId="77777777" w:rsidTr="006F7956">
        <w:trPr>
          <w:trHeight w:val="368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E16E07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Решението да включва права за използване на облачна среда за съхранение и анализиране на логове от крайни устройства и защитни стени с капацитет минимум 150GB на ден и 30 дневен период за съхранение.</w:t>
            </w:r>
          </w:p>
        </w:tc>
      </w:tr>
      <w:tr w:rsidR="00841369" w:rsidRPr="00841369" w14:paraId="1CA975A6" w14:textId="77777777" w:rsidTr="006F7956">
        <w:trPr>
          <w:trHeight w:val="368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1CD1CC" w14:textId="77777777" w:rsidR="00841369" w:rsidRPr="00841369" w:rsidRDefault="00841369" w:rsidP="00841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Решението да предлага възможност за бъдещо надграждане към единна платформа за откриване, управление и автоматизиране на инциденти, като включва минимум SIEM, SOAR, Attack Service Management, Threat Intel Management, UEBA с капацитет минимум 200G на ден и 30 дневен период за запазване на данни.</w:t>
            </w:r>
          </w:p>
        </w:tc>
      </w:tr>
      <w:tr w:rsidR="00841369" w:rsidRPr="00841369" w14:paraId="122B644E" w14:textId="77777777" w:rsidTr="006F7956">
        <w:trPr>
          <w:trHeight w:val="322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132292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lastRenderedPageBreak/>
              <w:t>Агента на решението да може да бъде инсталиран на минимум:</w:t>
            </w:r>
          </w:p>
          <w:p w14:paraId="7521F687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Windows 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10</w:t>
            </w: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 и по-нови</w:t>
            </w:r>
          </w:p>
          <w:p w14:paraId="32FBA1CA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>Windows Server 20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12</w:t>
            </w: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 и по-нови</w:t>
            </w:r>
          </w:p>
          <w:p w14:paraId="7A7A88E3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macOS 13 и по-нови</w:t>
            </w:r>
          </w:p>
          <w:p w14:paraId="49E269BF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ORACLE 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6 и по-нови</w:t>
            </w:r>
          </w:p>
          <w:p w14:paraId="0DFF92D7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>Debian 9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 и по-нови</w:t>
            </w:r>
          </w:p>
          <w:p w14:paraId="20B0FC67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>RedHat 6</w:t>
            </w: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 и по-нови</w:t>
            </w:r>
          </w:p>
          <w:p w14:paraId="40CFBB08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>Ubuntu</w:t>
            </w:r>
          </w:p>
          <w:p w14:paraId="7C4703E9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CentOS</w:t>
            </w:r>
          </w:p>
          <w:p w14:paraId="4B6DF1F6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>Android</w:t>
            </w:r>
          </w:p>
          <w:p w14:paraId="53E84EFF" w14:textId="77777777" w:rsidR="00841369" w:rsidRPr="00841369" w:rsidRDefault="00841369" w:rsidP="0084136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val="bg-BG" w:eastAsia="zh-CN"/>
                <w14:ligatures w14:val="none"/>
              </w:rPr>
              <w:t>iOS</w:t>
            </w:r>
          </w:p>
        </w:tc>
      </w:tr>
      <w:tr w:rsidR="00841369" w:rsidRPr="00841369" w14:paraId="7D9C15D5" w14:textId="77777777" w:rsidTr="006F7956">
        <w:trPr>
          <w:trHeight w:val="348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3CBBF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Сертификация на производителя по ISO 27001</w:t>
            </w:r>
          </w:p>
        </w:tc>
      </w:tr>
      <w:tr w:rsidR="00841369" w:rsidRPr="00841369" w14:paraId="2805A8AD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E761A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Автоматизирано свързване на данни от крайни точки, мрежа, облак и данни за самоличност, включително предупреждения и събития за сигурност</w:t>
            </w:r>
          </w:p>
        </w:tc>
      </w:tr>
      <w:tr w:rsidR="00841369" w:rsidRPr="00841369" w14:paraId="27A1CF93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24B788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Автоматизиран анализ на първопричината за всеки сигнал, включително мрежови сигнали, ако има налични данни за крайната точка</w:t>
            </w:r>
          </w:p>
        </w:tc>
      </w:tr>
      <w:tr w:rsidR="00841369" w:rsidRPr="00841369" w14:paraId="2454D641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A4F4ED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Да има възможност за предоставяне на анализа във времева линия, за да може да се видят всички действия и сигнали и тяхната последователност</w:t>
            </w:r>
          </w:p>
        </w:tc>
      </w:tr>
      <w:tr w:rsidR="00841369" w:rsidRPr="00841369" w14:paraId="1EB61C0F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C5141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Решението да има възможност за 360-градусов изглед към потребителите и съответните оценки на техния риск</w:t>
            </w:r>
          </w:p>
        </w:tc>
      </w:tr>
      <w:tr w:rsidR="00841369" w:rsidRPr="00841369" w14:paraId="1B37FB83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5F1F13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Възможност за използване на база за разузнаване (Threat Intelligence) на заплахи от източници на трети страни във формати JSON и CSV</w:t>
            </w:r>
          </w:p>
        </w:tc>
      </w:tr>
      <w:tr w:rsidR="00841369" w:rsidRPr="00841369" w14:paraId="3F219EA3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8A1BD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Откриване и  отговор на заплахи, включващи управлявани и неуправлявани крайни точки</w:t>
            </w:r>
          </w:p>
        </w:tc>
      </w:tr>
      <w:tr w:rsidR="00841369" w:rsidRPr="00841369" w14:paraId="4204283A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F97EE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Откриване и реагиране на заплахи, включващи облачни сървъри</w:t>
            </w:r>
          </w:p>
        </w:tc>
      </w:tr>
      <w:tr w:rsidR="00841369" w:rsidRPr="00841369" w14:paraId="64E833B1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81DB3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Непрекъснато събиране и централизирано съхранение на всички данни за сигурност с цел поведенчески анализи</w:t>
            </w:r>
          </w:p>
        </w:tc>
      </w:tr>
      <w:tr w:rsidR="00841369" w:rsidRPr="00841369" w14:paraId="0893BF5A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13FB12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Решението да прави анализ на крайните устройства включително инвентаризация, оценка и управление на уязвимости, както и незабавно намиране и премахване на заплахи</w:t>
            </w:r>
          </w:p>
        </w:tc>
      </w:tr>
      <w:tr w:rsidR="00841369" w:rsidRPr="00841369" w14:paraId="2A1C353E" w14:textId="77777777" w:rsidTr="006F7956">
        <w:trPr>
          <w:trHeight w:val="31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0A30F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Възможност с допълнителен лиценз за запазване на данни за неограничен период от време. </w:t>
            </w:r>
          </w:p>
        </w:tc>
      </w:tr>
      <w:tr w:rsidR="00841369" w:rsidRPr="00841369" w14:paraId="2540E673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33473E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Една година задържане за одитни дневници на административна и следствена дейност</w:t>
            </w:r>
          </w:p>
        </w:tc>
      </w:tr>
      <w:tr w:rsidR="00841369" w:rsidRPr="00841369" w14:paraId="2B2FECE8" w14:textId="77777777" w:rsidTr="006F7956">
        <w:trPr>
          <w:trHeight w:val="570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583D9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lastRenderedPageBreak/>
              <w:t xml:space="preserve">Решението да може да се интегрира с външна система като SLACK и Syslog за изпращане на известия при инцидент.  </w:t>
            </w:r>
          </w:p>
        </w:tc>
      </w:tr>
      <w:tr w:rsidR="00841369" w:rsidRPr="00841369" w14:paraId="28D45F40" w14:textId="77777777" w:rsidTr="006F7956">
        <w:trPr>
          <w:trHeight w:val="2744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04849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Решението да покрива минимум 200 броя Windows машини с включена функционалност за събиране, задълбочен анализ и разследване на данни като включва минимум : </w:t>
            </w:r>
          </w:p>
          <w:p w14:paraId="680207B6" w14:textId="77777777" w:rsidR="00841369" w:rsidRPr="00841369" w:rsidRDefault="00841369" w:rsidP="00841369">
            <w:pPr>
              <w:widowControl w:val="0"/>
              <w:numPr>
                <w:ilvl w:val="0"/>
                <w:numId w:val="3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История на браузъра (Chrome, Edge, Firefox, Internet Explorer)</w:t>
            </w:r>
          </w:p>
          <w:p w14:paraId="30EEC03D" w14:textId="77777777" w:rsidR="00841369" w:rsidRPr="00841369" w:rsidRDefault="00841369" w:rsidP="00841369">
            <w:pPr>
              <w:widowControl w:val="0"/>
              <w:numPr>
                <w:ilvl w:val="0"/>
                <w:numId w:val="3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Достъп до файлове </w:t>
            </w:r>
          </w:p>
          <w:p w14:paraId="5251A5F2" w14:textId="77777777" w:rsidR="00841369" w:rsidRPr="00841369" w:rsidRDefault="00841369" w:rsidP="00841369">
            <w:pPr>
              <w:widowControl w:val="0"/>
              <w:numPr>
                <w:ilvl w:val="0"/>
                <w:numId w:val="3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Стартиране на процеси </w:t>
            </w:r>
          </w:p>
          <w:p w14:paraId="21582130" w14:textId="77777777" w:rsidR="00841369" w:rsidRPr="00841369" w:rsidRDefault="00841369" w:rsidP="00841369">
            <w:pPr>
              <w:widowControl w:val="0"/>
              <w:numPr>
                <w:ilvl w:val="0"/>
                <w:numId w:val="3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Мрежова активност</w:t>
            </w:r>
          </w:p>
          <w:p w14:paraId="4CFDF3F8" w14:textId="77777777" w:rsidR="00841369" w:rsidRPr="00841369" w:rsidRDefault="00841369" w:rsidP="00841369">
            <w:pPr>
              <w:widowControl w:val="0"/>
              <w:numPr>
                <w:ilvl w:val="0"/>
                <w:numId w:val="3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История на команди </w:t>
            </w:r>
          </w:p>
          <w:p w14:paraId="45856083" w14:textId="77777777" w:rsidR="00841369" w:rsidRPr="00841369" w:rsidRDefault="00841369" w:rsidP="00841369">
            <w:pPr>
              <w:widowControl w:val="0"/>
              <w:numPr>
                <w:ilvl w:val="0"/>
                <w:numId w:val="3"/>
              </w:numPr>
              <w:suppressAutoHyphens/>
              <w:spacing w:before="120" w:after="0" w:line="276" w:lineRule="auto"/>
              <w:ind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 xml:space="preserve">Отдалечен достъп </w:t>
            </w:r>
          </w:p>
        </w:tc>
      </w:tr>
      <w:tr w:rsidR="00841369" w:rsidRPr="00841369" w14:paraId="0129A4AB" w14:textId="77777777" w:rsidTr="006F7956">
        <w:trPr>
          <w:trHeight w:val="318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6F609" w14:textId="77777777" w:rsidR="00841369" w:rsidRPr="00841369" w:rsidRDefault="00841369" w:rsidP="00841369">
            <w:pPr>
              <w:widowControl w:val="0"/>
              <w:suppressAutoHyphens/>
              <w:spacing w:after="200" w:line="276" w:lineRule="auto"/>
              <w:ind w:left="90" w:right="120"/>
              <w:jc w:val="both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</w:pPr>
            <w:r w:rsidRPr="00841369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bg-BG" w:eastAsia="zh-CN"/>
                <w14:ligatures w14:val="none"/>
              </w:rPr>
              <w:t>Софтуерна гаранционна поддръжка от производителя за 60 месеца.</w:t>
            </w:r>
          </w:p>
        </w:tc>
      </w:tr>
    </w:tbl>
    <w:p w14:paraId="359EEF17" w14:textId="77777777" w:rsidR="00841369" w:rsidRPr="00841369" w:rsidRDefault="00841369" w:rsidP="00841369">
      <w:pPr>
        <w:suppressAutoHyphens/>
        <w:spacing w:after="200" w:line="240" w:lineRule="auto"/>
        <w:jc w:val="both"/>
        <w:rPr>
          <w:rFonts w:ascii="Arial Narrow" w:eastAsia="Times New Roman" w:hAnsi="Arial Narrow" w:cs="Times New Roman"/>
          <w:kern w:val="0"/>
          <w:lang w:val="bg-BG" w:eastAsia="zh-CN"/>
          <w14:ligatures w14:val="none"/>
        </w:rPr>
      </w:pPr>
    </w:p>
    <w:p w14:paraId="2D471D53" w14:textId="77777777" w:rsidR="00841369" w:rsidRPr="00841369" w:rsidRDefault="00841369" w:rsidP="00841369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  <w:t xml:space="preserve">ПОДПИС </w:t>
      </w:r>
    </w:p>
    <w:p w14:paraId="1C3CC189" w14:textId="77777777" w:rsidR="00841369" w:rsidRPr="00841369" w:rsidRDefault="00841369" w:rsidP="00841369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[име и фамилия]</w:t>
      </w:r>
    </w:p>
    <w:p w14:paraId="61D96A14" w14:textId="77777777" w:rsidR="00841369" w:rsidRPr="00841369" w:rsidRDefault="00841369" w:rsidP="00841369">
      <w:pPr>
        <w:spacing w:before="120" w:after="0" w:line="240" w:lineRule="auto"/>
        <w:ind w:left="4956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841369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[качество на представляващия участника]</w:t>
      </w:r>
    </w:p>
    <w:p w14:paraId="6CC75BC7" w14:textId="77777777" w:rsidR="00841369" w:rsidRPr="00841369" w:rsidRDefault="00841369" w:rsidP="00841369">
      <w:pPr>
        <w:spacing w:before="120" w:after="0" w:line="240" w:lineRule="auto"/>
        <w:ind w:left="4956"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3718CB51" w14:textId="77777777" w:rsidR="00841369" w:rsidRPr="00841369" w:rsidRDefault="00841369" w:rsidP="00841369">
      <w:pPr>
        <w:spacing w:before="120" w:after="0" w:line="240" w:lineRule="auto"/>
        <w:ind w:left="4956"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61BEDE0D" w14:textId="388E6CFA" w:rsidR="00841369" w:rsidRPr="00841369" w:rsidRDefault="00841369" w:rsidP="00841369">
      <w:pPr>
        <w:shd w:val="clear" w:color="auto" w:fill="FFFFFF"/>
        <w:spacing w:before="120" w:after="0" w:line="240" w:lineRule="auto"/>
        <w:ind w:firstLine="708"/>
        <w:jc w:val="both"/>
        <w:rPr>
          <w:lang w:val="bg-BG"/>
        </w:rPr>
      </w:pPr>
      <w:r w:rsidRPr="00841369">
        <w:rPr>
          <w:rFonts w:ascii="Arial Narrow" w:eastAsia="Times New Roman" w:hAnsi="Arial Narrow" w:cs="Arial"/>
          <w:b/>
          <w:i/>
          <w:kern w:val="0"/>
          <w:szCs w:val="22"/>
          <w:lang w:val="bg-BG" w:eastAsia="bg-BG"/>
          <w14:ligatures w14:val="none"/>
        </w:rPr>
        <w:t xml:space="preserve">Забележка: </w:t>
      </w:r>
      <w:r w:rsidRPr="00841369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>Техническото предложение се представя в електронен вид във формат .pdf, подписано с квалифициран електронен подпис.</w:t>
      </w:r>
    </w:p>
    <w:sectPr w:rsidR="00841369" w:rsidRPr="00841369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E93D" w14:textId="77777777" w:rsidR="00D67737" w:rsidRDefault="00D67737">
      <w:pPr>
        <w:spacing w:after="0" w:line="240" w:lineRule="auto"/>
      </w:pPr>
      <w:r>
        <w:separator/>
      </w:r>
    </w:p>
  </w:endnote>
  <w:endnote w:type="continuationSeparator" w:id="0">
    <w:p w14:paraId="33B7A1AE" w14:textId="77777777" w:rsidR="00D67737" w:rsidRDefault="00D6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A137" w14:textId="77777777" w:rsidR="00D67737" w:rsidRDefault="00D67737">
      <w:pPr>
        <w:spacing w:after="0" w:line="240" w:lineRule="auto"/>
      </w:pPr>
      <w:r>
        <w:separator/>
      </w:r>
    </w:p>
  </w:footnote>
  <w:footnote w:type="continuationSeparator" w:id="0">
    <w:p w14:paraId="5581A846" w14:textId="77777777" w:rsidR="00D67737" w:rsidRDefault="00D6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CB5C" w14:textId="77777777" w:rsidR="00841369" w:rsidRDefault="00841369" w:rsidP="00922E51">
    <w:pPr>
      <w:pStyle w:val="Header"/>
      <w:tabs>
        <w:tab w:val="right" w:pos="9923"/>
      </w:tabs>
      <w:ind w:right="-853"/>
      <w:rPr>
        <w:b/>
        <w:color w:val="7F7F7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56FC"/>
    <w:multiLevelType w:val="multilevel"/>
    <w:tmpl w:val="B5BEDB42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530E21"/>
    <w:multiLevelType w:val="multilevel"/>
    <w:tmpl w:val="8AD6A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78F289F"/>
    <w:multiLevelType w:val="multilevel"/>
    <w:tmpl w:val="1A8CA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6700290">
    <w:abstractNumId w:val="3"/>
  </w:num>
  <w:num w:numId="2" w16cid:durableId="192037106">
    <w:abstractNumId w:val="1"/>
  </w:num>
  <w:num w:numId="3" w16cid:durableId="365567093">
    <w:abstractNumId w:val="2"/>
  </w:num>
  <w:num w:numId="4" w16cid:durableId="13913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69"/>
    <w:rsid w:val="006F1EBE"/>
    <w:rsid w:val="00841369"/>
    <w:rsid w:val="00B675FD"/>
    <w:rsid w:val="00D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9536"/>
  <w15:chartTrackingRefBased/>
  <w15:docId w15:val="{4500665A-C28C-4914-8249-B7CFCD08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3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413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6349</Characters>
  <Application>Microsoft Office Word</Application>
  <DocSecurity>4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2025-12-17T13:25:00Z</dcterms:created>
  <dcterms:modified xsi:type="dcterms:W3CDTF">2025-12-17T13:25:00Z</dcterms:modified>
</cp:coreProperties>
</file>